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9D" w:rsidRPr="009B139E" w:rsidRDefault="007A6D9D" w:rsidP="007A6D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Приложение № 8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 xml:space="preserve">ОБЩИЙ АНАЛИЗ качества материально-технических условий             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7A6D9D" w:rsidRPr="009B139E" w:rsidTr="00E654BD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7A6D9D" w:rsidRPr="009B139E" w:rsidTr="007A6D9D">
        <w:trPr>
          <w:trHeight w:val="589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F07185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F07185" w:rsidRDefault="00F07185" w:rsidP="00F0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F07185" w:rsidRDefault="00F07185" w:rsidP="00F0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материально-технических условий</w:t>
            </w: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F07185" w:rsidRDefault="00F07185" w:rsidP="00F07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F07185" w:rsidP="00E65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баллов</w:t>
            </w:r>
          </w:p>
        </w:tc>
      </w:tr>
    </w:tbl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9D" w:rsidRPr="009B139E" w:rsidRDefault="007A6D9D" w:rsidP="007A6D9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A6D9D" w:rsidRPr="009B139E" w:rsidSect="00E654BD">
          <w:pgSz w:w="16838" w:h="11906" w:orient="landscape"/>
          <w:pgMar w:top="850" w:right="1134" w:bottom="993" w:left="1134" w:header="510" w:footer="397" w:gutter="0"/>
          <w:cols w:space="708"/>
          <w:docGrid w:linePitch="360"/>
        </w:sectPr>
      </w:pPr>
      <w:bookmarkStart w:id="0" w:name="_GoBack"/>
      <w:bookmarkEnd w:id="0"/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санитарно-эпидемиологическим правилам и нормативам</w:t>
      </w: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7A6D9D" w:rsidRPr="009B139E" w:rsidTr="00E654BD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hAnsi="Times New Roman"/>
                <w:sz w:val="24"/>
                <w:szCs w:val="24"/>
              </w:rPr>
              <w:t>Самарской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области)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оборудованию и содержанию территории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Территория ДОУ по периметру ограждена забором и полосой зеленых насаждений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7A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7A6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 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Зона игровой территории включает в себя физкультурную площадку (одну или несколько).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зданию, помещениям, оборудованию и их содержанию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размещению оборудования в помещениях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7A6D9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Раздевальные оборудованы шкафами для верхней одежды детей и персонала.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</w:t>
            </w:r>
          </w:p>
          <w:p w:rsidR="007A6D9D" w:rsidRPr="009B139E" w:rsidRDefault="007A6D9D" w:rsidP="00E6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Основные размеры столов и стульев для детей </w:t>
            </w:r>
            <w:proofErr w:type="gramStart"/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раннего</w:t>
            </w:r>
            <w:proofErr w:type="gramEnd"/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Таблица 1.</w:t>
            </w:r>
          </w:p>
          <w:p w:rsidR="007A6D9D" w:rsidRPr="009B139E" w:rsidRDefault="007A6D9D" w:rsidP="00E6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1872"/>
              <w:gridCol w:w="2340"/>
              <w:gridCol w:w="1755"/>
            </w:tblGrid>
            <w:tr w:rsidR="007A6D9D" w:rsidRPr="009B139E" w:rsidTr="00E654BD">
              <w:trPr>
                <w:trHeight w:val="400"/>
                <w:tblCellSpacing w:w="5" w:type="nil"/>
              </w:trPr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Группа роста детей (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Высота стола (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стула </w:t>
                  </w: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    (</w:t>
                  </w:r>
                  <w:proofErr w:type="gramStart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   </w:t>
                  </w:r>
                </w:p>
              </w:tc>
            </w:tr>
            <w:tr w:rsidR="007A6D9D" w:rsidRPr="009B139E" w:rsidTr="00E654BD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до 850    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00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340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180     </w:t>
                  </w:r>
                </w:p>
              </w:tc>
            </w:tr>
            <w:tr w:rsidR="007A6D9D" w:rsidRPr="009B139E" w:rsidTr="00E654BD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свыше 850 до 1000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400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220     </w:t>
                  </w:r>
                </w:p>
              </w:tc>
            </w:tr>
            <w:tr w:rsidR="007A6D9D" w:rsidRPr="009B139E" w:rsidTr="00E654BD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1000 - 1150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1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460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260     </w:t>
                  </w:r>
                </w:p>
              </w:tc>
            </w:tr>
            <w:tr w:rsidR="007A6D9D" w:rsidRPr="009B139E" w:rsidTr="00E654BD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1150 - 1300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2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520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300     </w:t>
                  </w:r>
                </w:p>
              </w:tc>
            </w:tr>
            <w:tr w:rsidR="007A6D9D" w:rsidRPr="009B139E" w:rsidTr="00E654BD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1300 - 1450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3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580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340     </w:t>
                  </w:r>
                </w:p>
              </w:tc>
            </w:tr>
            <w:tr w:rsidR="007A6D9D" w:rsidRPr="009B139E" w:rsidTr="00E654BD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1450 - 1600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4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640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9D" w:rsidRPr="009B139E" w:rsidRDefault="007A6D9D" w:rsidP="00E65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380     </w:t>
                  </w:r>
                </w:p>
              </w:tc>
            </w:tr>
          </w:tbl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D9D" w:rsidRPr="009B139E" w:rsidRDefault="007A6D9D" w:rsidP="00E65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Учебные доски, не обладающие собственным свечением, обеспечены равномерным искусственным освещением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139E">
              <w:rPr>
                <w:rFonts w:ascii="Times New Roman" w:hAnsi="Times New Roman"/>
                <w:sz w:val="24"/>
                <w:szCs w:val="24"/>
              </w:rPr>
              <w:t>пенолатексные</w:t>
            </w:r>
            <w:proofErr w:type="spell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ворсованные игрушки для детей дошкольного возраста используются только в качестве дидактических пособий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Дети обеспечиваются индивидуальными постельными принадлежностями, полотенцами, предметами личной гигиены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баллов</w:t>
            </w:r>
          </w:p>
        </w:tc>
      </w:tr>
    </w:tbl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A6D9D" w:rsidRPr="009B139E" w:rsidSect="00C177CA">
          <w:pgSz w:w="16838" w:h="11906" w:orient="landscape"/>
          <w:pgMar w:top="850" w:right="1134" w:bottom="567" w:left="1134" w:header="510" w:footer="397" w:gutter="0"/>
          <w:cols w:space="708"/>
          <w:docGrid w:linePitch="360"/>
        </w:sectPr>
      </w:pP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 соответствия материально-технических условий правилам пожарной безопасности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7A6D9D" w:rsidRPr="009B139E" w:rsidTr="00E654BD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наружного противопожарного водоснабжения</w:t>
            </w:r>
            <w:r w:rsidRPr="009B139E">
              <w:rPr>
                <w:sz w:val="18"/>
                <w:szCs w:val="18"/>
              </w:rPr>
              <w:t xml:space="preserve"> 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инструкции о мерах пожарной безопасности, инструкции о действиях персонала по эвакуации людей при пожаре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актов проверки работоспособности систем противопожарной защиты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приказа о назначении ответственного за пожарную безопасность, который обеспечивает соблюдение требований пожарной безопасности ДОУ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обучения по программам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 руководителя и лиц, ответственных за пожарную безопасность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 состоянии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7A6D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jc w:val="center"/>
            </w:pPr>
            <w: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D9D" w:rsidRPr="009B139E" w:rsidRDefault="007A6D9D" w:rsidP="00E65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баллов</w:t>
            </w:r>
          </w:p>
        </w:tc>
      </w:tr>
    </w:tbl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A6D9D" w:rsidRPr="009B139E" w:rsidSect="00C177CA">
          <w:pgSz w:w="16838" w:h="11906" w:orient="landscape"/>
          <w:pgMar w:top="850" w:right="1134" w:bottom="567" w:left="1134" w:header="510" w:footer="397" w:gutter="0"/>
          <w:cols w:space="708"/>
          <w:docGrid w:linePitch="360"/>
        </w:sectPr>
      </w:pP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соответствия материально-технических условий требованиям к средствам обучения и воспитания 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в зависимости от возраста и индивидуальных особенностей развития детей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7A6D9D" w:rsidRPr="009B139E" w:rsidTr="00E654BD">
        <w:trPr>
          <w:jc w:val="center"/>
        </w:trPr>
        <w:tc>
          <w:tcPr>
            <w:tcW w:w="543" w:type="dxa"/>
            <w:vMerge w:val="restart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vMerge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D9D" w:rsidRPr="009B139E" w:rsidTr="00E654BD">
        <w:trPr>
          <w:trHeight w:val="513"/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206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Материальные средств обучения и воспитания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</w:t>
            </w:r>
            <w:proofErr w:type="gramStart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;)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</w:t>
            </w:r>
            <w:proofErr w:type="gramStart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настенные</w:t>
            </w:r>
            <w:proofErr w:type="gramEnd"/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</w:t>
            </w:r>
            <w:r w:rsidRPr="009B13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учебных приборов (компас, солнечные часы, флюгер, микроскопы, колбы и т.д.);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музыкальных инструментов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фортепиано, ксилофон, колокольчики, барабаны и т.д.)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технических средств в образовательном процессе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Аудиосистема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педагога 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, имеющих тяжелые нарушения речи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отдельного кабинета учителя-логопеда, оснащенного необходимым оборудованием для коррекционной-развивающей работы 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отдельного кабинета педагога-психолога, оснащенного необходимым оборудованием для коррекционной-развивающей работы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с ограниченными возможностями здоровья по зрению: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адаптация официального сайта образовательной организации в сети "Интернет" с учетом особых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инвалидов по зрению с приведением их к международному стандарту доступности ве</w:t>
            </w: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9B139E">
              <w:rPr>
                <w:rFonts w:ascii="Times New Roman" w:hAnsi="Times New Roman"/>
                <w:sz w:val="24"/>
                <w:szCs w:val="24"/>
              </w:rPr>
              <w:t xml:space="preserve"> контента и веб-сервисов (</w:t>
            </w: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WCAG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размещение в доступных для обучающихся, родителей (законных представителей) обучающихся являющихся слепыми или слабовидящими, местах и в адаптированной форме (с учетом их особых потребностей) справочной информации.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9BBB59"/>
          </w:tcPr>
          <w:p w:rsidR="007A6D9D" w:rsidRPr="009B139E" w:rsidRDefault="007A6D9D" w:rsidP="00E654BD">
            <w:pPr>
              <w:spacing w:after="0" w:line="240" w:lineRule="auto"/>
              <w:ind w:right="12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ограниченными возможностями здоровья по слуху: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дублирование звуковой справочной информации визуальной (установка мониторов с возможностью трансляции субтитров обеспечение надлежащими звуковыми средствами воспроизведения информации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обеспечение получения информации с использованием русского жестового языка (</w:t>
            </w:r>
            <w:proofErr w:type="spell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сурдоперевода</w:t>
            </w:r>
            <w:proofErr w:type="spellEnd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тифлосурдоперевода</w:t>
            </w:r>
            <w:proofErr w:type="spellEnd"/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, имеющих нарушения опорно-двигательного аппарата: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обучающихся  в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863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с умственной отсталостью: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206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9E">
              <w:rPr>
                <w:rFonts w:ascii="Times New Roman" w:hAnsi="Times New Roman"/>
                <w:sz w:val="24"/>
                <w:szCs w:val="24"/>
              </w:rPr>
              <w:t>наличие в ДОУ, осуществляющей образовательную деятельность по адаптированным основным образовательным программам для обучающихся с умственной отсталостью, групп для обучающихся с умеренной и тяжелой умственной отсталостью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0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shd w:val="clear" w:color="auto" w:fill="FFFF00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 баллов</w:t>
            </w:r>
          </w:p>
        </w:tc>
      </w:tr>
    </w:tbl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A6D9D" w:rsidRPr="009B139E" w:rsidSect="00C177CA">
          <w:pgSz w:w="16838" w:h="11906" w:orient="landscape"/>
          <w:pgMar w:top="850" w:right="1134" w:bottom="709" w:left="1134" w:header="510" w:footer="397" w:gutter="0"/>
          <w:cols w:space="708"/>
          <w:docGrid w:linePitch="360"/>
        </w:sectPr>
      </w:pP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 требованиям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к материально-техническому обеспечению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(учебно-методические комплекты, оборудование, предметное оснащение)</w:t>
      </w:r>
    </w:p>
    <w:p w:rsidR="007A6D9D" w:rsidRPr="009B139E" w:rsidRDefault="007A6D9D" w:rsidP="007A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7A6D9D" w:rsidRPr="009B139E" w:rsidTr="00E654BD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Управление контроля и надзора в сфере образования)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ООП ДО ДОО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E654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АООП ДО ДОО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C177C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АООП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программно-методическое обеспечение образовательного процесса, учебно-методические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E654B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 и направленности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 соответствует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помещения оснащены развивающей предметно пространственной средой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учтены особенности детей с ОВЗ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C177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физкультурно-спортивной деятельности (наличие физкультурного зала, бассейна, спортивная площадка и т.д.)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spacing w:after="0" w:line="216" w:lineRule="auto"/>
              <w:ind w:right="3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 (хореографический зал, изостудия)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  <w:r w:rsidR="00C177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6D9D" w:rsidRPr="009B139E" w:rsidTr="00E654BD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spacing w:after="0" w:line="216" w:lineRule="auto"/>
              <w:ind w:right="111"/>
              <w:contextualSpacing/>
              <w:rPr>
                <w:rFonts w:ascii="Times New Roman" w:hAnsi="Times New Roman"/>
              </w:rPr>
            </w:pPr>
            <w:r w:rsidRPr="009B139E">
              <w:rPr>
                <w:rFonts w:ascii="Times New Roman" w:hAnsi="Times New Roman"/>
                <w:sz w:val="24"/>
              </w:rPr>
              <w:t xml:space="preserve">Официальный сайт соответствует нормативным требованиям. Является маркетинговым инструментом учреждения, имеет режим общения с родителями.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7A6D9D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9D" w:rsidRPr="009B139E" w:rsidRDefault="00C177CA" w:rsidP="00E654B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177CA" w:rsidRPr="009B139E" w:rsidTr="00413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43" w:type="dxa"/>
            <w:shd w:val="clear" w:color="auto" w:fill="FFFF00"/>
          </w:tcPr>
          <w:p w:rsidR="00C177CA" w:rsidRPr="009B139E" w:rsidRDefault="00C177CA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00"/>
          </w:tcPr>
          <w:p w:rsidR="00C177CA" w:rsidRPr="009B139E" w:rsidRDefault="00C177CA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shd w:val="clear" w:color="auto" w:fill="FFFF00"/>
          </w:tcPr>
          <w:p w:rsidR="00C177CA" w:rsidRPr="009B139E" w:rsidRDefault="00C177CA" w:rsidP="00C1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1C2F5C" w:rsidRDefault="001C2F5C"/>
    <w:sectPr w:rsidR="001C2F5C" w:rsidSect="00C177C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12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50A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05"/>
    <w:rsid w:val="001C2F5C"/>
    <w:rsid w:val="007A6D9D"/>
    <w:rsid w:val="00C177CA"/>
    <w:rsid w:val="00C36805"/>
    <w:rsid w:val="00E654BD"/>
    <w:rsid w:val="00F0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2023-01-19T08:56:00Z</dcterms:created>
  <dcterms:modified xsi:type="dcterms:W3CDTF">2023-01-19T09:27:00Z</dcterms:modified>
</cp:coreProperties>
</file>